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Информация о заявителях, которым предоставляются субсидии (отказано в предоставлении субсидий) на возмещение недополученных доходов в связи с предоставлением льгот отдельным категориям граждан на проезд при осуществлении регулярных перевозок по </w:t>
      </w:r>
      <w:r>
        <w:rPr>
          <w:rFonts w:ascii="PT Astra Serif" w:hAnsi="PT Astra Serif"/>
          <w:b w:val="1"/>
          <w:sz w:val="28"/>
        </w:rPr>
        <w:t>нерегулируемым тарифам по межмуниципальным маршрутам регулярных перевозок на территории Тульской области</w:t>
      </w:r>
    </w:p>
    <w:p w14:paraId="0A000000">
      <w:pPr>
        <w:rPr>
          <w:rFonts w:ascii="PT Astra Serif" w:hAnsi="PT Astra Serif"/>
          <w:b w:val="1"/>
          <w:sz w:val="28"/>
          <w:u w:val="single"/>
        </w:rPr>
      </w:pPr>
      <w:r>
        <w:rPr>
          <w:rFonts w:ascii="PT Astra Serif" w:hAnsi="PT Astra Serif"/>
          <w:b w:val="1"/>
          <w:sz w:val="28"/>
          <w:u w:val="single"/>
        </w:rPr>
        <w:t xml:space="preserve">г. Тула </w:t>
      </w:r>
      <w:r>
        <w:rPr>
          <w:rFonts w:ascii="PT Astra Serif" w:hAnsi="PT Astra Serif"/>
          <w:b w:val="1"/>
          <w:sz w:val="28"/>
        </w:rPr>
        <w:t xml:space="preserve">                                                                                                     </w:t>
      </w:r>
      <w:r>
        <w:rPr>
          <w:rFonts w:ascii="PT Astra Serif" w:hAnsi="PT Astra Serif"/>
          <w:b w:val="1"/>
          <w:sz w:val="28"/>
          <w:u w:val="single"/>
        </w:rPr>
        <w:t>19</w:t>
      </w:r>
      <w:r>
        <w:rPr>
          <w:rFonts w:ascii="PT Astra Serif" w:hAnsi="PT Astra Serif"/>
          <w:b w:val="1"/>
          <w:sz w:val="28"/>
          <w:u w:val="single"/>
        </w:rPr>
        <w:t>.</w:t>
      </w:r>
      <w:r>
        <w:rPr>
          <w:rFonts w:ascii="PT Astra Serif" w:hAnsi="PT Astra Serif"/>
          <w:b w:val="1"/>
          <w:sz w:val="28"/>
          <w:u w:val="single"/>
        </w:rPr>
        <w:t>06.2024</w:t>
      </w:r>
    </w:p>
    <w:p w14:paraId="0B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C000000">
      <w:pPr>
        <w:pStyle w:val="Style_3"/>
        <w:spacing w:before="1"/>
        <w:ind w:firstLine="709" w:left="0" w:right="108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 основании постановления пра</w:t>
      </w:r>
      <w:r>
        <w:rPr>
          <w:rFonts w:ascii="PT Astra Serif" w:hAnsi="PT Astra Serif"/>
          <w:sz w:val="28"/>
        </w:rPr>
        <w:t xml:space="preserve">вительства Тульской области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 xml:space="preserve">от 22 декабря 2016 г. №608 «О предоставлении отдельным категориям граждан льготы на проезд при осуществлении регулярных перевозок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по нерегулируемым тарифам по межмуниципальным маршрутам регулярных перевозок на территории Тульс</w:t>
      </w:r>
      <w:r>
        <w:rPr>
          <w:rFonts w:ascii="PT Astra Serif" w:hAnsi="PT Astra Serif"/>
          <w:sz w:val="28"/>
        </w:rPr>
        <w:t xml:space="preserve">кой области» </w:t>
      </w:r>
      <w:r>
        <w:rPr>
          <w:rFonts w:ascii="PT Astra Serif" w:hAnsi="PT Astra Serif"/>
          <w:sz w:val="28"/>
        </w:rPr>
        <w:t xml:space="preserve">ГУ ТО «Организатор перевозок и навигации» размещает информацию </w:t>
      </w:r>
      <w:r>
        <w:rPr>
          <w:rFonts w:ascii="PT Astra Serif" w:hAnsi="PT Astra Serif"/>
          <w:sz w:val="28"/>
        </w:rPr>
        <w:t xml:space="preserve">о принятии решения по предоставлению (отказе в предоставлении) заявителям субсидий на возмещение недополученных доходов в связи </w:t>
      </w:r>
      <w:r>
        <w:rPr>
          <w:rFonts w:ascii="PT Astra Serif" w:hAnsi="PT Astra Serif"/>
          <w:sz w:val="28"/>
        </w:rPr>
        <w:t>с предоставлением льгот отдельным категориям граж</w:t>
      </w:r>
      <w:r>
        <w:rPr>
          <w:rFonts w:ascii="PT Astra Serif" w:hAnsi="PT Astra Serif"/>
          <w:sz w:val="28"/>
        </w:rPr>
        <w:t xml:space="preserve">дан на проезд при осуществлении регулярных перевозок по нерегулируемым тарифам </w:t>
      </w:r>
      <w:r>
        <w:rPr>
          <w:rFonts w:ascii="PT Astra Serif" w:hAnsi="PT Astra Serif"/>
          <w:sz w:val="28"/>
        </w:rPr>
        <w:t xml:space="preserve">по межмуниципальным маршрутам регулярных перевозок на территории Тульской области </w:t>
      </w:r>
      <w:r>
        <w:rPr>
          <w:rFonts w:ascii="PT Astra Serif" w:hAnsi="PT Astra Serif"/>
          <w:b w:val="1"/>
          <w:sz w:val="28"/>
        </w:rPr>
        <w:t xml:space="preserve">за май 2024 г </w:t>
      </w:r>
      <w:r>
        <w:rPr>
          <w:rFonts w:ascii="PT Astra Serif" w:hAnsi="PT Astra Serif"/>
          <w:b w:val="1"/>
          <w:sz w:val="28"/>
        </w:rPr>
        <w:br/>
      </w:r>
      <w:bookmarkStart w:id="1" w:name="_GoBack"/>
      <w:bookmarkEnd w:id="1"/>
      <w:r>
        <w:rPr>
          <w:rFonts w:ascii="PT Astra Serif" w:hAnsi="PT Astra Serif"/>
          <w:sz w:val="28"/>
        </w:rPr>
        <w:t xml:space="preserve">в рамках заключенных соглашений </w:t>
      </w:r>
      <w:r>
        <w:rPr>
          <w:rFonts w:ascii="PT Astra Serif" w:hAnsi="PT Astra Serif"/>
          <w:sz w:val="28"/>
        </w:rPr>
        <w:t xml:space="preserve">о предоставлении субсидий из бюджета Тульской </w:t>
      </w:r>
      <w:r>
        <w:rPr>
          <w:rFonts w:ascii="PT Astra Serif" w:hAnsi="PT Astra Serif"/>
          <w:sz w:val="28"/>
        </w:rPr>
        <w:t>области юридическим лицам, индивидуальным предпринимателям.</w:t>
      </w:r>
    </w:p>
    <w:p w14:paraId="0D000000">
      <w:pPr>
        <w:pStyle w:val="Style_3"/>
        <w:spacing w:before="1"/>
        <w:ind w:firstLine="709" w:left="0" w:right="108"/>
        <w:rPr>
          <w:rFonts w:ascii="PT Astra Serif" w:hAnsi="PT Astra Serif"/>
          <w:sz w:val="28"/>
        </w:rPr>
      </w:pPr>
    </w:p>
    <w:p w14:paraId="0E000000">
      <w:pPr>
        <w:pStyle w:val="Style_3"/>
        <w:spacing w:before="1"/>
        <w:ind w:firstLine="709" w:left="0" w:right="108"/>
        <w:rPr>
          <w:rFonts w:ascii="PT Astra Serif" w:hAnsi="PT Astra Serif"/>
          <w:sz w:val="28"/>
        </w:rPr>
      </w:pPr>
    </w:p>
    <w:tbl>
      <w:tblPr>
        <w:tblStyle w:val="Style_4"/>
        <w:tblW w:type="auto" w:w="0"/>
        <w:tblLayout w:type="fixed"/>
      </w:tblPr>
      <w:tblGrid>
        <w:gridCol w:w="867"/>
        <w:gridCol w:w="5082"/>
        <w:gridCol w:w="3260"/>
      </w:tblGrid>
      <w:tr>
        <w:trPr>
          <w:trHeight w:hRule="atLeast" w:val="992"/>
        </w:trPr>
        <w:tc>
          <w:tcPr>
            <w:tcW w:type="dxa" w:w="867"/>
            <w:vAlign w:val="center"/>
          </w:tcPr>
          <w:p w14:paraId="0F000000">
            <w:pPr>
              <w:spacing w:line="276" w:lineRule="auto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№ п/п</w:t>
            </w:r>
          </w:p>
        </w:tc>
        <w:tc>
          <w:tcPr>
            <w:tcW w:type="dxa" w:w="5082"/>
            <w:vAlign w:val="center"/>
          </w:tcPr>
          <w:p w14:paraId="10000000">
            <w:pPr>
              <w:spacing w:line="276" w:lineRule="auto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Наименование организации</w:t>
            </w:r>
          </w:p>
        </w:tc>
        <w:tc>
          <w:tcPr>
            <w:tcW w:type="dxa" w:w="3260"/>
            <w:vAlign w:val="center"/>
          </w:tcPr>
          <w:p w14:paraId="11000000">
            <w:pPr>
              <w:spacing w:line="276" w:lineRule="auto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Решение о предоставлении/отказе в представлении субсидии</w:t>
            </w:r>
          </w:p>
        </w:tc>
      </w:tr>
      <w:tr>
        <w:trPr>
          <w:trHeight w:hRule="atLeast" w:val="621"/>
        </w:trPr>
        <w:tc>
          <w:tcPr>
            <w:tcW w:type="dxa" w:w="867"/>
            <w:vAlign w:val="center"/>
          </w:tcPr>
          <w:p w14:paraId="12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type="dxa" w:w="5082"/>
            <w:vAlign w:val="center"/>
          </w:tcPr>
          <w:p w14:paraId="13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</w:t>
            </w:r>
            <w:r>
              <w:rPr>
                <w:rFonts w:ascii="PT Astra Serif" w:hAnsi="PT Astra Serif"/>
              </w:rPr>
              <w:t>Ефремовское</w:t>
            </w:r>
            <w:r>
              <w:rPr>
                <w:rFonts w:ascii="PT Astra Serif" w:hAnsi="PT Astra Serif"/>
              </w:rPr>
              <w:t xml:space="preserve"> ПАТП»</w:t>
            </w:r>
          </w:p>
        </w:tc>
        <w:tc>
          <w:tcPr>
            <w:tcW w:type="dxa" w:w="3260"/>
            <w:vAlign w:val="center"/>
          </w:tcPr>
          <w:p w14:paraId="14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>
        <w:trPr>
          <w:trHeight w:hRule="atLeast" w:val="607"/>
        </w:trPr>
        <w:tc>
          <w:tcPr>
            <w:tcW w:type="dxa" w:w="867"/>
            <w:vAlign w:val="center"/>
          </w:tcPr>
          <w:p w14:paraId="15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type="dxa" w:w="5082"/>
            <w:vAlign w:val="center"/>
          </w:tcPr>
          <w:p w14:paraId="16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«Прогресс-авто»</w:t>
            </w:r>
          </w:p>
        </w:tc>
        <w:tc>
          <w:tcPr>
            <w:tcW w:type="dxa" w:w="3260"/>
            <w:vAlign w:val="center"/>
          </w:tcPr>
          <w:p w14:paraId="17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>
        <w:trPr>
          <w:trHeight w:hRule="atLeast" w:val="621"/>
        </w:trPr>
        <w:tc>
          <w:tcPr>
            <w:tcW w:type="dxa" w:w="867"/>
            <w:vAlign w:val="center"/>
          </w:tcPr>
          <w:p w14:paraId="18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type="dxa" w:w="5082"/>
            <w:vAlign w:val="center"/>
          </w:tcPr>
          <w:p w14:paraId="19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ООО </w:t>
            </w:r>
            <w:r>
              <w:rPr>
                <w:rFonts w:ascii="PT Astra Serif" w:hAnsi="PT Astra Serif"/>
              </w:rPr>
              <w:t>«Автоколонна №1288»</w:t>
            </w:r>
          </w:p>
        </w:tc>
        <w:tc>
          <w:tcPr>
            <w:tcW w:type="dxa" w:w="3260"/>
            <w:vAlign w:val="center"/>
          </w:tcPr>
          <w:p w14:paraId="1A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>
        <w:trPr>
          <w:trHeight w:hRule="atLeast" w:val="621"/>
        </w:trPr>
        <w:tc>
          <w:tcPr>
            <w:tcW w:type="dxa" w:w="867"/>
            <w:vAlign w:val="center"/>
          </w:tcPr>
          <w:p w14:paraId="1B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type="dxa" w:w="5082"/>
            <w:vAlign w:val="center"/>
          </w:tcPr>
          <w:p w14:paraId="1C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</w:t>
            </w:r>
            <w:r>
              <w:rPr>
                <w:rFonts w:ascii="PT Astra Serif" w:hAnsi="PT Astra Serif"/>
              </w:rPr>
              <w:t>Новомосковская</w:t>
            </w:r>
            <w:r>
              <w:rPr>
                <w:rFonts w:ascii="PT Astra Serif" w:hAnsi="PT Astra Serif"/>
              </w:rPr>
              <w:t xml:space="preserve"> АК 1411»</w:t>
            </w:r>
          </w:p>
        </w:tc>
        <w:tc>
          <w:tcPr>
            <w:tcW w:type="dxa" w:w="3260"/>
            <w:vAlign w:val="center"/>
          </w:tcPr>
          <w:p w14:paraId="1D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>
        <w:trPr>
          <w:trHeight w:hRule="atLeast" w:val="607"/>
        </w:trPr>
        <w:tc>
          <w:tcPr>
            <w:tcW w:type="dxa" w:w="867"/>
            <w:vAlign w:val="center"/>
          </w:tcPr>
          <w:p w14:paraId="1E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type="dxa" w:w="5082"/>
            <w:vAlign w:val="center"/>
          </w:tcPr>
          <w:p w14:paraId="1F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</w:t>
            </w:r>
            <w:r>
              <w:rPr>
                <w:rFonts w:ascii="PT Astra Serif" w:hAnsi="PT Astra Serif"/>
              </w:rPr>
              <w:t>Кимовское</w:t>
            </w:r>
            <w:r>
              <w:rPr>
                <w:rFonts w:ascii="PT Astra Serif" w:hAnsi="PT Astra Serif"/>
              </w:rPr>
              <w:t xml:space="preserve"> ПАТП»</w:t>
            </w:r>
          </w:p>
        </w:tc>
        <w:tc>
          <w:tcPr>
            <w:tcW w:type="dxa" w:w="3260"/>
            <w:vAlign w:val="center"/>
          </w:tcPr>
          <w:p w14:paraId="20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>
        <w:trPr>
          <w:trHeight w:hRule="atLeast" w:val="607"/>
        </w:trPr>
        <w:tc>
          <w:tcPr>
            <w:tcW w:type="dxa" w:w="867"/>
            <w:vAlign w:val="center"/>
          </w:tcPr>
          <w:p w14:paraId="21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type="dxa" w:w="5082"/>
            <w:vAlign w:val="center"/>
          </w:tcPr>
          <w:p w14:paraId="22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</w:t>
            </w:r>
            <w:r>
              <w:rPr>
                <w:rFonts w:ascii="PT Astra Serif" w:hAnsi="PT Astra Serif"/>
              </w:rPr>
              <w:t>Киреевское</w:t>
            </w:r>
            <w:r>
              <w:rPr>
                <w:rFonts w:ascii="PT Astra Serif" w:hAnsi="PT Astra Serif"/>
              </w:rPr>
              <w:t xml:space="preserve"> ПАТП»</w:t>
            </w:r>
          </w:p>
        </w:tc>
        <w:tc>
          <w:tcPr>
            <w:tcW w:type="dxa" w:w="3260"/>
            <w:vAlign w:val="center"/>
          </w:tcPr>
          <w:p w14:paraId="23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>
        <w:trPr>
          <w:trHeight w:hRule="atLeast" w:val="621"/>
        </w:trPr>
        <w:tc>
          <w:tcPr>
            <w:tcW w:type="dxa" w:w="867"/>
            <w:vAlign w:val="center"/>
          </w:tcPr>
          <w:p w14:paraId="24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type="dxa" w:w="5082"/>
            <w:vAlign w:val="center"/>
          </w:tcPr>
          <w:p w14:paraId="25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</w:t>
            </w:r>
            <w:r>
              <w:rPr>
                <w:rFonts w:ascii="PT Astra Serif" w:hAnsi="PT Astra Serif"/>
              </w:rPr>
              <w:t>Богородицкое</w:t>
            </w:r>
            <w:r>
              <w:rPr>
                <w:rFonts w:ascii="PT Astra Serif" w:hAnsi="PT Astra Serif"/>
              </w:rPr>
              <w:t xml:space="preserve"> ПАТП»</w:t>
            </w:r>
          </w:p>
        </w:tc>
        <w:tc>
          <w:tcPr>
            <w:tcW w:type="dxa" w:w="3260"/>
            <w:vAlign w:val="center"/>
          </w:tcPr>
          <w:p w14:paraId="26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>
        <w:trPr>
          <w:trHeight w:hRule="atLeast" w:val="621"/>
        </w:trPr>
        <w:tc>
          <w:tcPr>
            <w:tcW w:type="dxa" w:w="867"/>
            <w:vAlign w:val="center"/>
          </w:tcPr>
          <w:p w14:paraId="27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type="dxa" w:w="5082"/>
            <w:vAlign w:val="center"/>
          </w:tcPr>
          <w:p w14:paraId="28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</w:t>
            </w:r>
            <w:r>
              <w:rPr>
                <w:rFonts w:ascii="PT Astra Serif" w:hAnsi="PT Astra Serif"/>
              </w:rPr>
              <w:t>Плавское</w:t>
            </w:r>
            <w:r>
              <w:rPr>
                <w:rFonts w:ascii="PT Astra Serif" w:hAnsi="PT Astra Serif"/>
              </w:rPr>
              <w:t xml:space="preserve"> АТП»</w:t>
            </w:r>
          </w:p>
        </w:tc>
        <w:tc>
          <w:tcPr>
            <w:tcW w:type="dxa" w:w="3260"/>
            <w:vAlign w:val="center"/>
          </w:tcPr>
          <w:p w14:paraId="29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>
        <w:trPr>
          <w:trHeight w:hRule="atLeast" w:val="592"/>
        </w:trPr>
        <w:tc>
          <w:tcPr>
            <w:tcW w:type="dxa" w:w="867"/>
            <w:vAlign w:val="center"/>
          </w:tcPr>
          <w:p w14:paraId="2A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type="dxa" w:w="5082"/>
            <w:vAlign w:val="center"/>
          </w:tcPr>
          <w:p w14:paraId="2B00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«Алексинское ПАТП»</w:t>
            </w:r>
          </w:p>
        </w:tc>
        <w:tc>
          <w:tcPr>
            <w:tcW w:type="dxa" w:w="3260"/>
            <w:vAlign w:val="center"/>
          </w:tcPr>
          <w:p w14:paraId="2C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>
        <w:trPr>
          <w:trHeight w:hRule="atLeast" w:val="440"/>
        </w:trPr>
        <w:tc>
          <w:tcPr>
            <w:tcW w:type="dxa" w:w="867"/>
            <w:vAlign w:val="center"/>
          </w:tcPr>
          <w:p w14:paraId="2D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type="dxa" w:w="5082"/>
            <w:vAlign w:val="center"/>
          </w:tcPr>
          <w:p w14:paraId="2E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ИП Куликова Зоя Николаевна</w:t>
            </w:r>
          </w:p>
        </w:tc>
        <w:tc>
          <w:tcPr>
            <w:tcW w:type="dxa" w:w="3260"/>
            <w:vAlign w:val="center"/>
          </w:tcPr>
          <w:p w14:paraId="2F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>
        <w:trPr>
          <w:trHeight w:hRule="atLeast" w:val="490"/>
        </w:trPr>
        <w:tc>
          <w:tcPr>
            <w:tcW w:type="dxa" w:w="867"/>
            <w:vAlign w:val="center"/>
          </w:tcPr>
          <w:p w14:paraId="30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type="dxa" w:w="5082"/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ИП </w:t>
            </w:r>
            <w:r>
              <w:rPr>
                <w:rFonts w:ascii="PT Astra Serif" w:hAnsi="PT Astra Serif"/>
              </w:rPr>
              <w:t>Розвезев</w:t>
            </w:r>
            <w:r>
              <w:rPr>
                <w:rFonts w:ascii="PT Astra Serif" w:hAnsi="PT Astra Serif"/>
              </w:rPr>
              <w:t xml:space="preserve"> Сергей Алексеевич</w:t>
            </w:r>
          </w:p>
        </w:tc>
        <w:tc>
          <w:tcPr>
            <w:tcW w:type="dxa" w:w="3260"/>
            <w:vAlign w:val="center"/>
          </w:tcPr>
          <w:p w14:paraId="32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>
        <w:trPr>
          <w:trHeight w:hRule="atLeast" w:val="435"/>
        </w:trPr>
        <w:tc>
          <w:tcPr>
            <w:tcW w:type="dxa" w:w="867"/>
            <w:vAlign w:val="center"/>
          </w:tcPr>
          <w:p w14:paraId="33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type="dxa" w:w="5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76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ИП </w:t>
            </w:r>
            <w:r>
              <w:rPr>
                <w:rFonts w:ascii="PT Astra Serif" w:hAnsi="PT Astra Serif"/>
                <w:sz w:val="24"/>
              </w:rPr>
              <w:t>Солодкий</w:t>
            </w:r>
            <w:r>
              <w:rPr>
                <w:rFonts w:ascii="PT Astra Serif" w:hAnsi="PT Astra Serif"/>
                <w:sz w:val="24"/>
              </w:rPr>
              <w:t xml:space="preserve"> Алексей Евгеньевич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</w:tbl>
    <w:p w14:paraId="36000000">
      <w:pPr>
        <w:pStyle w:val="Style_3"/>
        <w:spacing w:before="1"/>
        <w:ind w:firstLine="709" w:left="0" w:right="108"/>
        <w:jc w:val="center"/>
        <w:rPr>
          <w:rFonts w:ascii="PT Astra Serif" w:hAnsi="PT Astra Serif"/>
          <w:sz w:val="28"/>
        </w:rPr>
      </w:pPr>
    </w:p>
    <w:sectPr>
      <w:headerReference r:id="rId5" w:type="default"/>
      <w:headerReference r:id="rId1" w:type="first"/>
      <w:headerReference r:id="rId3" w:type="even"/>
      <w:footerReference r:id="rId6" w:type="default"/>
      <w:footerReference r:id="rId2" w:type="first"/>
      <w:footerReference r:id="rId4" w:type="even"/>
      <w:pgSz w:h="16838" w:orient="portrait" w:w="11906"/>
      <w:pgMar w:bottom="1134" w:footer="708" w:gutter="0" w:header="708" w:left="1701" w:right="850" w:top="993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7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Обычный1"/>
    <w:link w:val="Style_8_ch"/>
  </w:style>
  <w:style w:styleId="Style_8_ch" w:type="character">
    <w:name w:val="Обычный1"/>
    <w:link w:val="Style_8"/>
  </w:style>
  <w:style w:styleId="Style_9" w:type="paragraph">
    <w:name w:val="toc 6"/>
    <w:next w:val="Style_5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</w:rPr>
  </w:style>
  <w:style w:styleId="Style_12_ch" w:type="character">
    <w:name w:val="Endnote"/>
    <w:link w:val="Style_12"/>
    <w:rPr>
      <w:rFonts w:ascii="XO Thames" w:hAnsi="XO Thames"/>
    </w:rPr>
  </w:style>
  <w:style w:styleId="Style_13" w:type="paragraph">
    <w:name w:val="heading 3"/>
    <w:next w:val="Style_5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5_ch"/>
    <w:link w:val="Style_2"/>
  </w:style>
  <w:style w:styleId="Style_14" w:type="paragraph">
    <w:name w:val="toc 3"/>
    <w:next w:val="Style_5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3" w:type="paragraph">
    <w:name w:val="Body Text"/>
    <w:basedOn w:val="Style_5"/>
    <w:link w:val="Style_3_ch"/>
    <w:pPr>
      <w:widowControl w:val="0"/>
      <w:spacing w:after="0" w:line="240" w:lineRule="auto"/>
      <w:ind w:firstLine="707" w:left="102"/>
      <w:jc w:val="both"/>
    </w:pPr>
    <w:rPr>
      <w:rFonts w:ascii="Times New Roman" w:hAnsi="Times New Roman"/>
      <w:sz w:val="26"/>
    </w:rPr>
  </w:style>
  <w:style w:styleId="Style_3_ch" w:type="character">
    <w:name w:val="Body Text"/>
    <w:basedOn w:val="Style_5_ch"/>
    <w:link w:val="Style_3"/>
    <w:rPr>
      <w:rFonts w:ascii="Times New Roman" w:hAnsi="Times New Roman"/>
      <w:sz w:val="26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eading 5"/>
    <w:next w:val="Style_5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6_ch" w:type="character">
    <w:name w:val="heading 5"/>
    <w:link w:val="Style_16"/>
    <w:rPr>
      <w:rFonts w:ascii="XO Thames" w:hAnsi="XO Thames"/>
      <w:b w:val="1"/>
    </w:rPr>
  </w:style>
  <w:style w:styleId="Style_17" w:type="paragraph">
    <w:name w:val="heading 1"/>
    <w:next w:val="Style_5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Гиперссылка1"/>
    <w:link w:val="Style_20_ch"/>
    <w:rPr>
      <w:color w:val="0000FF"/>
      <w:u w:val="single"/>
    </w:rPr>
  </w:style>
  <w:style w:styleId="Style_20_ch" w:type="character">
    <w:name w:val="Гиперссылка1"/>
    <w:link w:val="Style_20"/>
    <w:rPr>
      <w:color w:val="0000FF"/>
      <w:u w:val="single"/>
    </w:rPr>
  </w:style>
  <w:style w:styleId="Style_21" w:type="paragraph">
    <w:name w:val="toc 1"/>
    <w:next w:val="Style_5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toc 9"/>
    <w:next w:val="Style_5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5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5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5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5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5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5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Grid"/>
    <w:basedOn w:val="Style_30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oter6.xml" Type="http://schemas.openxmlformats.org/officeDocument/2006/relationships/footer"/>
  <Relationship Id="rId1" Target="header1.xml" Type="http://schemas.openxmlformats.org/officeDocument/2006/relationships/header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footer4.xml" Type="http://schemas.openxmlformats.org/officeDocument/2006/relationships/foot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2024-06-18T08:15:54Z</dcterms:modified>
</cp:coreProperties>
</file>