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Информация о заявителях, которым предоставляются субсидии (отказано в предоставлении субсидий) на возмещение недополученных доходов, возникающих в результате предоставления льгот </w:t>
      </w:r>
      <w:r>
        <w:rPr>
          <w:rFonts w:ascii="PT Astra Serif" w:hAnsi="PT Astra Serif"/>
          <w:b w:val="1"/>
          <w:sz w:val="28"/>
        </w:rPr>
        <w:br/>
      </w:r>
      <w:r>
        <w:rPr>
          <w:rFonts w:ascii="PT Astra Serif" w:hAnsi="PT Astra Serif"/>
          <w:b w:val="1"/>
          <w:sz w:val="28"/>
        </w:rPr>
        <w:t xml:space="preserve">отдельным категориям граждан, а также в связи с реализацией </w:t>
      </w:r>
      <w:r>
        <w:rPr>
          <w:rFonts w:ascii="PT Astra Serif" w:hAnsi="PT Astra Serif"/>
          <w:b w:val="1"/>
          <w:sz w:val="28"/>
        </w:rPr>
        <w:br/>
      </w:r>
      <w:r>
        <w:rPr>
          <w:rFonts w:ascii="PT Astra Serif" w:hAnsi="PT Astra Serif"/>
          <w:b w:val="1"/>
          <w:sz w:val="28"/>
        </w:rPr>
        <w:t>Закона Тульской области «О защите прав ребенка»</w:t>
      </w:r>
    </w:p>
    <w:p w14:paraId="02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3000000">
      <w:pPr>
        <w:rPr>
          <w:rFonts w:ascii="PT Astra Serif" w:hAnsi="PT Astra Serif"/>
          <w:b w:val="1"/>
          <w:sz w:val="28"/>
          <w:u w:val="single"/>
        </w:rPr>
      </w:pPr>
      <w:r>
        <w:rPr>
          <w:rFonts w:ascii="PT Astra Serif" w:hAnsi="PT Astra Serif"/>
          <w:b w:val="1"/>
          <w:sz w:val="28"/>
          <w:u w:val="single"/>
        </w:rPr>
        <w:t xml:space="preserve">г. Тула </w:t>
      </w:r>
      <w:r>
        <w:rPr>
          <w:rFonts w:ascii="PT Astra Serif" w:hAnsi="PT Astra Serif"/>
          <w:b w:val="1"/>
          <w:sz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  <w:b w:val="1"/>
          <w:sz w:val="28"/>
          <w:u w:val="single"/>
        </w:rPr>
        <w:t>05.04.2024</w:t>
      </w:r>
    </w:p>
    <w:p w14:paraId="04000000">
      <w:pPr>
        <w:rPr>
          <w:rFonts w:ascii="PT Astra Serif" w:hAnsi="PT Astra Serif"/>
          <w:b w:val="1"/>
          <w:sz w:val="28"/>
          <w:u w:val="single"/>
        </w:rPr>
      </w:pPr>
    </w:p>
    <w:p w14:paraId="05000000">
      <w:pPr>
        <w:pStyle w:val="Style_1"/>
        <w:spacing w:before="1"/>
        <w:ind w:firstLine="709" w:left="0" w:right="108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 требованиями постановления правительства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Тульской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области</w:t>
      </w:r>
      <w:r>
        <w:rPr>
          <w:rFonts w:ascii="PT Astra Serif" w:hAnsi="PT Astra Serif"/>
          <w:spacing w:val="80"/>
          <w:sz w:val="28"/>
        </w:rPr>
        <w:t xml:space="preserve"> </w:t>
      </w:r>
      <w:r>
        <w:rPr>
          <w:rFonts w:ascii="PT Astra Serif" w:hAnsi="PT Astra Serif"/>
          <w:sz w:val="28"/>
        </w:rPr>
        <w:t>от</w:t>
      </w:r>
      <w:r>
        <w:rPr>
          <w:rFonts w:ascii="PT Astra Serif" w:hAnsi="PT Astra Serif"/>
          <w:spacing w:val="-3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05.05.2012 №173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1" w:name="_Hlk89874773"/>
      <w:r>
        <w:rPr>
          <w:rFonts w:ascii="PT Astra Serif" w:hAnsi="PT Astra Serif"/>
          <w:sz w:val="28"/>
        </w:rPr>
        <w:t xml:space="preserve">возникающих в результате предоставления льгот отдельным категориям граждан, а также в связи 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с реализацией Закона Тульской области «О защите прав ребенка»</w:t>
      </w:r>
      <w:bookmarkEnd w:id="1"/>
      <w:r>
        <w:rPr>
          <w:rFonts w:ascii="PT Astra Serif" w:hAnsi="PT Astra Serif"/>
          <w:sz w:val="28"/>
        </w:rPr>
        <w:t xml:space="preserve">» (далее – </w:t>
      </w:r>
      <w:r>
        <w:rPr>
          <w:rFonts w:ascii="PT Astra Serif" w:hAnsi="PT Astra Serif"/>
          <w:sz w:val="28"/>
        </w:rPr>
        <w:t>Порядок</w:t>
      </w:r>
      <w:r>
        <w:rPr>
          <w:rFonts w:ascii="PT Astra Serif" w:hAnsi="PT Astra Serif"/>
          <w:sz w:val="28"/>
        </w:rPr>
        <w:t xml:space="preserve">) </w:t>
      </w:r>
      <w:r>
        <w:rPr>
          <w:rFonts w:ascii="PT Astra Serif" w:hAnsi="PT Astra Serif"/>
          <w:sz w:val="28"/>
        </w:rPr>
        <w:t xml:space="preserve">и </w:t>
      </w:r>
      <w:r>
        <w:rPr>
          <w:rFonts w:ascii="PT Astra Serif" w:hAnsi="PT Astra Serif"/>
          <w:sz w:val="28"/>
        </w:rPr>
        <w:t xml:space="preserve">в рамках отбора с </w:t>
      </w:r>
      <w:r>
        <w:rPr>
          <w:rFonts w:ascii="PT Astra Serif" w:hAnsi="PT Astra Serif"/>
          <w:sz w:val="28"/>
        </w:rPr>
        <w:t>15.03.2024</w:t>
      </w:r>
      <w:r>
        <w:rPr>
          <w:rFonts w:ascii="PT Astra Serif" w:hAnsi="PT Astra Serif"/>
          <w:sz w:val="28"/>
        </w:rPr>
        <w:t xml:space="preserve"> по 26</w:t>
      </w:r>
      <w:r>
        <w:rPr>
          <w:rFonts w:ascii="PT Astra Serif" w:hAnsi="PT Astra Serif"/>
          <w:sz w:val="28"/>
        </w:rPr>
        <w:t>.03.2024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государственным учреждением Тульской области «Организатор перевозок и навигации» </w:t>
      </w:r>
      <w:r>
        <w:rPr>
          <w:rFonts w:ascii="PT Astra Serif" w:hAnsi="PT Astra Serif"/>
          <w:sz w:val="28"/>
        </w:rPr>
        <w:t>05.04.2024</w:t>
      </w:r>
      <w:r>
        <w:rPr>
          <w:rFonts w:ascii="PT Astra Serif" w:hAnsi="PT Astra Serif"/>
          <w:sz w:val="28"/>
        </w:rPr>
        <w:t xml:space="preserve"> в 12-00 по адресу: </w:t>
      </w:r>
      <w:r>
        <w:rPr>
          <w:rFonts w:ascii="PT Astra Serif" w:hAnsi="PT Astra Serif"/>
          <w:color w:val="000000"/>
          <w:sz w:val="28"/>
          <w:highlight w:val="white"/>
        </w:rPr>
        <w:t xml:space="preserve">300025, </w:t>
      </w:r>
      <w:r>
        <w:rPr>
          <w:rFonts w:ascii="PT Astra Serif" w:hAnsi="PT Astra Serif"/>
          <w:sz w:val="28"/>
        </w:rPr>
        <w:t xml:space="preserve">г. Тула, </w:t>
      </w:r>
      <w:r>
        <w:rPr>
          <w:rFonts w:ascii="PT Astra Serif" w:hAnsi="PT Astra Serif"/>
          <w:color w:val="000000"/>
          <w:sz w:val="28"/>
          <w:highlight w:val="white"/>
        </w:rPr>
        <w:t>Проспект Ленина, д. 102Б</w:t>
      </w:r>
      <w:r>
        <w:rPr>
          <w:rFonts w:ascii="PT Astra Serif" w:hAnsi="PT Astra Serif"/>
          <w:sz w:val="28"/>
        </w:rPr>
        <w:t xml:space="preserve"> </w:t>
      </w:r>
      <w:bookmarkStart w:id="2" w:name="_Hlk129247305"/>
      <w:r>
        <w:rPr>
          <w:rFonts w:ascii="PT Astra Serif" w:hAnsi="PT Astra Serif"/>
          <w:sz w:val="28"/>
        </w:rPr>
        <w:t xml:space="preserve">проведено </w:t>
      </w:r>
      <w:r>
        <w:rPr>
          <w:rFonts w:ascii="PT Astra Serif" w:hAnsi="PT Astra Serif"/>
          <w:sz w:val="28"/>
        </w:rPr>
        <w:t xml:space="preserve">заседание комиссии по </w:t>
      </w:r>
      <w:r>
        <w:rPr>
          <w:rFonts w:ascii="PT Astra Serif" w:hAnsi="PT Astra Serif"/>
          <w:sz w:val="28"/>
        </w:rPr>
        <w:t>рассмотрени</w:t>
      </w:r>
      <w:r>
        <w:rPr>
          <w:rFonts w:ascii="PT Astra Serif" w:hAnsi="PT Astra Serif"/>
          <w:sz w:val="28"/>
        </w:rPr>
        <w:t>ю</w:t>
      </w:r>
      <w:r>
        <w:rPr>
          <w:rFonts w:ascii="PT Astra Serif" w:hAnsi="PT Astra Serif"/>
          <w:sz w:val="28"/>
        </w:rPr>
        <w:t xml:space="preserve"> документов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представленных </w:t>
      </w:r>
      <w:r>
        <w:rPr>
          <w:rFonts w:ascii="PT Astra Serif" w:hAnsi="PT Astra Serif"/>
          <w:sz w:val="28"/>
        </w:rPr>
        <w:t>победителями</w:t>
      </w:r>
      <w:r>
        <w:rPr>
          <w:rFonts w:ascii="PT Astra Serif" w:hAnsi="PT Astra Serif"/>
          <w:sz w:val="28"/>
        </w:rPr>
        <w:t xml:space="preserve"> отбора</w:t>
      </w:r>
      <w:r>
        <w:rPr>
          <w:rFonts w:ascii="PT Astra Serif" w:hAnsi="PT Astra Serif"/>
          <w:sz w:val="28"/>
        </w:rPr>
        <w:t xml:space="preserve"> в соответствии с пунктом 12 Порядка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и принятию решения о предоставлении им субсидии (отказе 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в предоставлении субсидии).</w:t>
      </w:r>
    </w:p>
    <w:p w14:paraId="06000000">
      <w:pPr>
        <w:pStyle w:val="Style_1"/>
        <w:spacing w:before="1"/>
        <w:ind w:firstLine="709" w:left="0" w:right="108"/>
        <w:rPr>
          <w:rFonts w:ascii="PT Astra Serif" w:hAnsi="PT Astra Serif"/>
          <w:sz w:val="28"/>
        </w:rPr>
      </w:pPr>
    </w:p>
    <w:p w14:paraId="07000000">
      <w:pPr>
        <w:pStyle w:val="Style_1"/>
        <w:spacing w:before="1"/>
        <w:ind w:firstLine="709" w:left="0" w:right="108"/>
        <w:rPr>
          <w:rFonts w:ascii="PT Astra Serif" w:hAnsi="PT Astra Serif"/>
          <w:sz w:val="28"/>
        </w:rPr>
      </w:pPr>
      <w:bookmarkStart w:id="3" w:name="_Hlk129264290"/>
      <w:bookmarkEnd w:id="2"/>
      <w:r>
        <w:rPr>
          <w:rFonts w:ascii="PT Astra Serif" w:hAnsi="PT Astra Serif"/>
          <w:sz w:val="28"/>
        </w:rPr>
        <w:t xml:space="preserve"> Рассмотрены </w:t>
      </w:r>
      <w:r>
        <w:rPr>
          <w:rFonts w:ascii="PT Astra Serif" w:hAnsi="PT Astra Serif"/>
          <w:sz w:val="28"/>
        </w:rPr>
        <w:t>документы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 xml:space="preserve"> организации, </w:t>
      </w:r>
      <w:r>
        <w:rPr>
          <w:rFonts w:ascii="PT Astra Serif" w:hAnsi="PT Astra Serif"/>
          <w:sz w:val="28"/>
        </w:rPr>
        <w:t>в отношении которой было принято следующее решение:</w:t>
      </w:r>
      <w:bookmarkEnd w:id="3"/>
    </w:p>
    <w:p w14:paraId="08000000">
      <w:pPr>
        <w:pStyle w:val="Style_1"/>
        <w:spacing w:before="1"/>
        <w:ind w:firstLine="709" w:left="0" w:right="108"/>
        <w:rPr>
          <w:rFonts w:ascii="PT Astra Serif" w:hAnsi="PT Astra Serif"/>
          <w:sz w:val="28"/>
        </w:rPr>
      </w:pPr>
    </w:p>
    <w:tbl>
      <w:tblPr>
        <w:tblStyle w:val="Style_2"/>
        <w:tblW w:type="auto" w:w="0"/>
        <w:tblLayout w:type="fixed"/>
      </w:tblPr>
      <w:tblGrid>
        <w:gridCol w:w="1128"/>
        <w:gridCol w:w="4254"/>
        <w:gridCol w:w="3827"/>
      </w:tblGrid>
      <w:tr>
        <w:tc>
          <w:tcPr>
            <w:tcW w:type="dxa" w:w="1128"/>
            <w:vAlign w:val="center"/>
          </w:tcPr>
          <w:p w14:paraId="09000000">
            <w:pPr>
              <w:pStyle w:val="Style_1"/>
              <w:spacing w:before="1"/>
              <w:ind w:firstLine="0" w:left="0" w:right="108"/>
              <w:jc w:val="center"/>
              <w:rPr>
                <w:rFonts w:ascii="PT Astra Serif" w:hAnsi="PT Astra Serif"/>
                <w:b w:val="1"/>
                <w:sz w:val="28"/>
              </w:rPr>
            </w:pPr>
            <w:r>
              <w:rPr>
                <w:rFonts w:ascii="PT Astra Serif" w:hAnsi="PT Astra Serif"/>
                <w:b w:val="1"/>
                <w:sz w:val="28"/>
              </w:rPr>
              <w:t>№ п/п</w:t>
            </w:r>
          </w:p>
        </w:tc>
        <w:tc>
          <w:tcPr>
            <w:tcW w:type="dxa" w:w="4254"/>
            <w:vAlign w:val="center"/>
          </w:tcPr>
          <w:p w14:paraId="0A000000">
            <w:pPr>
              <w:pStyle w:val="Style_1"/>
              <w:spacing w:before="1"/>
              <w:ind w:firstLine="0" w:left="0" w:right="108"/>
              <w:jc w:val="center"/>
              <w:rPr>
                <w:rFonts w:ascii="PT Astra Serif" w:hAnsi="PT Astra Serif"/>
                <w:b w:val="1"/>
                <w:sz w:val="28"/>
              </w:rPr>
            </w:pPr>
            <w:r>
              <w:rPr>
                <w:rFonts w:ascii="PT Astra Serif" w:hAnsi="PT Astra Serif"/>
                <w:b w:val="1"/>
                <w:sz w:val="28"/>
              </w:rPr>
              <w:t>Наименование организации</w:t>
            </w:r>
          </w:p>
        </w:tc>
        <w:tc>
          <w:tcPr>
            <w:tcW w:type="dxa" w:w="3827"/>
            <w:vAlign w:val="center"/>
          </w:tcPr>
          <w:p w14:paraId="0B000000">
            <w:pPr>
              <w:pStyle w:val="Style_1"/>
              <w:spacing w:before="1"/>
              <w:ind w:firstLine="0" w:left="0" w:right="108"/>
              <w:jc w:val="center"/>
              <w:rPr>
                <w:rFonts w:ascii="PT Astra Serif" w:hAnsi="PT Astra Serif"/>
                <w:b w:val="1"/>
                <w:sz w:val="28"/>
              </w:rPr>
            </w:pPr>
            <w:r>
              <w:rPr>
                <w:rFonts w:ascii="PT Astra Serif" w:hAnsi="PT Astra Serif"/>
                <w:b w:val="1"/>
              </w:rPr>
              <w:t>Решение о предоставлении/отказе в пред</w:t>
            </w:r>
            <w:r>
              <w:rPr>
                <w:rFonts w:ascii="PT Astra Serif" w:hAnsi="PT Astra Serif"/>
                <w:b w:val="1"/>
              </w:rPr>
              <w:t>о</w:t>
            </w:r>
            <w:r>
              <w:rPr>
                <w:rFonts w:ascii="PT Astra Serif" w:hAnsi="PT Astra Serif"/>
                <w:b w:val="1"/>
              </w:rPr>
              <w:t>ставлении субсидии</w:t>
            </w:r>
          </w:p>
        </w:tc>
      </w:tr>
      <w:tr>
        <w:trPr>
          <w:trHeight w:hRule="atLeast" w:val="670"/>
        </w:trPr>
        <w:tc>
          <w:tcPr>
            <w:tcW w:type="dxa" w:w="1128"/>
            <w:vAlign w:val="center"/>
          </w:tcPr>
          <w:p w14:paraId="0C000000">
            <w:pPr>
              <w:pStyle w:val="Style_1"/>
              <w:spacing w:before="1"/>
              <w:ind w:firstLine="0" w:left="0" w:right="108"/>
              <w:jc w:val="center"/>
              <w:rPr>
                <w:rFonts w:ascii="PT Astra Serif" w:hAnsi="PT Astra Serif"/>
                <w:sz w:val="28"/>
              </w:rPr>
            </w:pPr>
            <w:bookmarkStart w:id="4" w:name="_GoBack"/>
            <w:bookmarkEnd w:id="4"/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00000">
            <w:pPr>
              <w:widowControl w:val="0"/>
              <w:spacing w:after="0" w:before="1" w:line="240" w:lineRule="auto"/>
              <w:ind w:firstLine="0" w:left="0" w:right="108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ООО «Тульская транспортная компания»</w:t>
            </w:r>
          </w:p>
        </w:tc>
        <w:tc>
          <w:tcPr>
            <w:tcW w:type="dxa" w:w="3827"/>
            <w:shd w:fill="auto" w:val="clear"/>
            <w:vAlign w:val="center"/>
          </w:tcPr>
          <w:p w14:paraId="0E000000">
            <w:pPr>
              <w:pStyle w:val="Style_1"/>
              <w:spacing w:before="1"/>
              <w:ind w:firstLine="0" w:left="0" w:right="108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Предоставляется</w:t>
            </w:r>
          </w:p>
        </w:tc>
      </w:tr>
    </w:tbl>
    <w:p w14:paraId="0F000000">
      <w:pPr>
        <w:widowControl w:val="0"/>
        <w:spacing w:after="0" w:before="1" w:line="240" w:lineRule="auto"/>
        <w:ind w:firstLine="709" w:left="0" w:right="108"/>
        <w:jc w:val="both"/>
        <w:rPr>
          <w:rFonts w:ascii="PT Astra Serif" w:hAnsi="PT Astra Serif"/>
          <w:sz w:val="28"/>
        </w:rPr>
      </w:pPr>
    </w:p>
    <w:sectPr>
      <w:pgSz w:h="16838" w:orient="portrait" w:w="11906"/>
      <w:pgMar w:bottom="284" w:footer="0" w:gutter="0" w:header="0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index heading"/>
    <w:basedOn w:val="Style_3"/>
    <w:link w:val="Style_10_ch"/>
  </w:style>
  <w:style w:styleId="Style_10_ch" w:type="character">
    <w:name w:val="index heading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Body Text"/>
    <w:basedOn w:val="Style_3"/>
    <w:link w:val="Style_1_ch"/>
    <w:pPr>
      <w:widowControl w:val="0"/>
      <w:spacing w:after="0" w:line="240" w:lineRule="auto"/>
      <w:ind w:firstLine="707" w:left="102"/>
      <w:jc w:val="both"/>
    </w:pPr>
    <w:rPr>
      <w:rFonts w:ascii="Times New Roman" w:hAnsi="Times New Roman"/>
      <w:sz w:val="26"/>
    </w:rPr>
  </w:style>
  <w:style w:styleId="Style_1_ch" w:type="character">
    <w:name w:val="Body Text"/>
    <w:basedOn w:val="Style_3_ch"/>
    <w:link w:val="Style_1"/>
    <w:rPr>
      <w:rFonts w:ascii="Times New Roman" w:hAnsi="Times New Roman"/>
      <w:sz w:val="26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caption"/>
    <w:basedOn w:val="Style_3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3_ch"/>
    <w:link w:val="Style_20"/>
    <w:rPr>
      <w:i w:val="1"/>
      <w:sz w:val="24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Основной текст Знак"/>
    <w:basedOn w:val="Style_23"/>
    <w:link w:val="Style_22_ch"/>
    <w:rPr>
      <w:rFonts w:ascii="Times New Roman" w:hAnsi="Times New Roman"/>
      <w:sz w:val="26"/>
    </w:rPr>
  </w:style>
  <w:style w:styleId="Style_22_ch" w:type="character">
    <w:name w:val="Основной текст Знак"/>
    <w:basedOn w:val="Style_23_ch"/>
    <w:link w:val="Style_22"/>
    <w:rPr>
      <w:rFonts w:ascii="Times New Roman" w:hAnsi="Times New Roman"/>
      <w:sz w:val="26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5" w:type="paragraph">
    <w:name w:val="Title"/>
    <w:basedOn w:val="Style_3"/>
    <w:next w:val="Style_1"/>
    <w:link w:val="Style_25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5_ch" w:type="character">
    <w:name w:val="Title"/>
    <w:basedOn w:val="Style_3_ch"/>
    <w:link w:val="Style_25"/>
    <w:rPr>
      <w:rFonts w:ascii="Liberation Sans" w:hAnsi="Liberation Sans"/>
      <w:sz w:val="28"/>
    </w:rPr>
  </w:style>
  <w:style w:styleId="Style_26" w:type="paragraph">
    <w:name w:val="List"/>
    <w:basedOn w:val="Style_1"/>
    <w:link w:val="Style_26_ch"/>
  </w:style>
  <w:style w:styleId="Style_26_ch" w:type="character">
    <w:name w:val="List"/>
    <w:basedOn w:val="Style_1_ch"/>
    <w:link w:val="Style_26"/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" w:type="table">
    <w:name w:val="Table Grid"/>
    <w:basedOn w:val="Style_2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2024-04-04T08:57:21Z</dcterms:modified>
</cp:coreProperties>
</file>